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B69BC2A" w14:textId="68814906" w:rsidR="00E0613D" w:rsidRDefault="00253773" w:rsidP="00E0613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ORIGINATING APPLICATION </w:t>
      </w:r>
      <w:r w:rsidR="0015105E">
        <w:rPr>
          <w:rFonts w:asciiTheme="minorHAnsi" w:hAnsiTheme="minorHAnsi" w:cs="Calibri"/>
          <w:b/>
          <w:bCs/>
          <w:sz w:val="28"/>
        </w:rPr>
        <w:t xml:space="preserve">AND NOTICE OF </w:t>
      </w:r>
      <w:r w:rsidR="006D12F8" w:rsidRPr="006D12F8">
        <w:rPr>
          <w:rFonts w:asciiTheme="minorHAnsi" w:hAnsiTheme="minorHAnsi" w:cs="Calibri"/>
          <w:b/>
          <w:bCs/>
          <w:sz w:val="28"/>
        </w:rPr>
        <w:t xml:space="preserve">REFERRAL </w:t>
      </w:r>
      <w:r w:rsidR="00576BBA">
        <w:rPr>
          <w:rFonts w:asciiTheme="minorHAnsi" w:hAnsiTheme="minorHAnsi" w:cs="Calibri"/>
          <w:b/>
          <w:bCs/>
          <w:sz w:val="28"/>
        </w:rPr>
        <w:t xml:space="preserve">– </w:t>
      </w:r>
      <w:r w:rsidR="0015105E">
        <w:rPr>
          <w:rFonts w:asciiTheme="minorHAnsi" w:hAnsiTheme="minorHAnsi" w:cs="Calibri"/>
          <w:b/>
          <w:bCs/>
          <w:sz w:val="28"/>
        </w:rPr>
        <w:t>HIGH RIS</w:t>
      </w:r>
      <w:r w:rsidR="0001369B">
        <w:rPr>
          <w:rFonts w:asciiTheme="minorHAnsi" w:hAnsiTheme="minorHAnsi" w:cs="Calibri"/>
          <w:b/>
          <w:bCs/>
          <w:sz w:val="28"/>
        </w:rPr>
        <w:t xml:space="preserve">K OFFENDERS – </w:t>
      </w:r>
      <w:r w:rsidR="005F7310">
        <w:rPr>
          <w:rFonts w:cs="Arial"/>
          <w:b/>
          <w:bCs/>
          <w:sz w:val="28"/>
        </w:rPr>
        <w:t>CONTINUING DETENTION</w:t>
      </w:r>
    </w:p>
    <w:p w14:paraId="1D91670E" w14:textId="35862A0E" w:rsidR="005F7310" w:rsidRPr="00196699" w:rsidRDefault="005F7310" w:rsidP="00A439C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 w:rsidRPr="00196699">
        <w:rPr>
          <w:rFonts w:cs="Arial"/>
          <w:b/>
          <w:bCs/>
        </w:rPr>
        <w:t>Criminal Law (High Risk Offenders) Act 2015</w:t>
      </w:r>
      <w:r w:rsidRPr="00196699">
        <w:rPr>
          <w:rFonts w:cs="Arial"/>
          <w:b/>
          <w:bCs/>
          <w:iCs/>
        </w:rPr>
        <w:t xml:space="preserve"> </w:t>
      </w:r>
      <w:r w:rsidR="00082C64">
        <w:rPr>
          <w:rFonts w:cs="Arial"/>
          <w:b/>
          <w:bCs/>
        </w:rPr>
        <w:t>s</w:t>
      </w:r>
      <w:r w:rsidR="00082C64" w:rsidRPr="0015105E">
        <w:rPr>
          <w:rFonts w:cs="Arial"/>
          <w:b/>
          <w:bCs/>
        </w:rPr>
        <w:t xml:space="preserve"> </w:t>
      </w:r>
      <w:r w:rsidR="0015105E" w:rsidRPr="0015105E">
        <w:rPr>
          <w:rFonts w:cs="Arial"/>
          <w:b/>
          <w:bCs/>
        </w:rPr>
        <w:t>17(1)(B)(ii) and</w:t>
      </w:r>
      <w:r w:rsidRPr="00196699">
        <w:rPr>
          <w:rFonts w:cs="Arial"/>
          <w:b/>
          <w:bCs/>
          <w:iCs/>
        </w:rPr>
        <w:t xml:space="preserve"> 18</w:t>
      </w:r>
      <w:bookmarkStart w:id="0" w:name="_Hlk29810142"/>
      <w:bookmarkStart w:id="1" w:name="_Hlk29809020"/>
    </w:p>
    <w:p w14:paraId="6E2B39CF" w14:textId="77777777" w:rsidR="005F7310" w:rsidRPr="00C53601" w:rsidRDefault="005F7310" w:rsidP="00A439CA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Calibri"/>
          <w:bCs/>
        </w:rPr>
      </w:pPr>
      <w:r>
        <w:rPr>
          <w:rFonts w:cs="Calibri"/>
          <w:iCs/>
        </w:rPr>
        <w:t>SUPREME</w:t>
      </w:r>
      <w:r w:rsidRPr="00C53601">
        <w:rPr>
          <w:rFonts w:cs="Calibri"/>
          <w:b/>
          <w:sz w:val="12"/>
        </w:rPr>
        <w:t xml:space="preserve"> </w:t>
      </w:r>
      <w:r w:rsidRPr="00C53601">
        <w:rPr>
          <w:rFonts w:cs="Calibri"/>
          <w:iCs/>
        </w:rPr>
        <w:t xml:space="preserve">COURT </w:t>
      </w:r>
      <w:r w:rsidRPr="00C53601">
        <w:rPr>
          <w:rFonts w:cs="Calibri"/>
          <w:bCs/>
        </w:rPr>
        <w:t xml:space="preserve">OF SOUTH AUSTRALIA </w:t>
      </w:r>
    </w:p>
    <w:p w14:paraId="0B559D1C" w14:textId="77777777" w:rsidR="005F7310" w:rsidRPr="00C53601" w:rsidRDefault="005F7310" w:rsidP="002E337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cs="Calibri"/>
          <w:iCs/>
        </w:rPr>
        <w:t>SPECIAL STATUTORY</w:t>
      </w:r>
      <w:r w:rsidRPr="00C53601">
        <w:rPr>
          <w:rFonts w:cs="Calibri"/>
          <w:iCs/>
        </w:rPr>
        <w:t xml:space="preserve"> JURISDICTION</w:t>
      </w:r>
    </w:p>
    <w:p w14:paraId="39B73499" w14:textId="27FA42B6" w:rsidR="00330E6D" w:rsidRPr="00BA30B0" w:rsidRDefault="00330E6D" w:rsidP="00330E6D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BA30B0">
        <w:rPr>
          <w:rFonts w:cs="Calibri"/>
          <w:b/>
        </w:rPr>
        <w:t>ATTORNEY-GENERAL FOR SOUTH AU</w:t>
      </w:r>
      <w:r w:rsidR="00BA5B27">
        <w:rPr>
          <w:rFonts w:cs="Calibri"/>
          <w:b/>
        </w:rPr>
        <w:t>S</w:t>
      </w:r>
      <w:r w:rsidRPr="00BA30B0">
        <w:rPr>
          <w:rFonts w:cs="Calibri"/>
          <w:b/>
        </w:rPr>
        <w:t>TRALIA</w:t>
      </w:r>
    </w:p>
    <w:p w14:paraId="39534BC2" w14:textId="50ABFC8D" w:rsidR="00C6281B" w:rsidRPr="00082C64" w:rsidRDefault="006D12F8" w:rsidP="006D12F8">
      <w:pPr>
        <w:spacing w:after="480"/>
        <w:ind w:right="142"/>
        <w:rPr>
          <w:rFonts w:cs="Arial"/>
          <w:b/>
          <w:bCs/>
        </w:rPr>
      </w:pPr>
      <w:r w:rsidRPr="00082C64">
        <w:rPr>
          <w:rFonts w:cs="Arial"/>
          <w:b/>
          <w:bCs/>
        </w:rPr>
        <w:t>Applicant</w:t>
      </w:r>
    </w:p>
    <w:p w14:paraId="75D0D87A" w14:textId="09C85CE0" w:rsidR="005F7310" w:rsidRPr="00082C64" w:rsidRDefault="005F7310" w:rsidP="005F7310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r w:rsidRPr="00082C64">
        <w:rPr>
          <w:rFonts w:cs="Calibri"/>
          <w:b/>
          <w:bCs/>
        </w:rPr>
        <w:t>[</w:t>
      </w:r>
      <w:r w:rsidRPr="00082C64">
        <w:rPr>
          <w:rFonts w:cs="Calibri"/>
          <w:b/>
          <w:bCs/>
          <w:i/>
        </w:rPr>
        <w:t>FULL NAME</w:t>
      </w:r>
      <w:r w:rsidRPr="00082C64">
        <w:rPr>
          <w:rFonts w:cs="Calibri"/>
          <w:b/>
          <w:bCs/>
        </w:rPr>
        <w:t>]</w:t>
      </w:r>
    </w:p>
    <w:p w14:paraId="0784277C" w14:textId="213C45B0" w:rsidR="006F7219" w:rsidRPr="00A439CA" w:rsidRDefault="00794228" w:rsidP="00A439CA">
      <w:pPr>
        <w:spacing w:after="480"/>
        <w:ind w:right="142"/>
        <w:rPr>
          <w:rFonts w:cs="Arial"/>
          <w:b/>
          <w:bCs/>
        </w:rPr>
      </w:pPr>
      <w:r w:rsidRPr="00082C64">
        <w:rPr>
          <w:rFonts w:cs="Arial"/>
          <w:b/>
          <w:bCs/>
        </w:rPr>
        <w:t>Respondent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415A0" w:rsidRPr="009C0B31" w14:paraId="3EED332A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34D480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6D044D3" w14:textId="2B87FECE" w:rsidR="007415A0" w:rsidRPr="00196699" w:rsidRDefault="00330E6D" w:rsidP="00E0613D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rPr>
                <w:rFonts w:cs="Arial"/>
                <w:iCs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Attorney-General for South Australia</w:t>
            </w:r>
          </w:p>
        </w:tc>
      </w:tr>
      <w:tr w:rsidR="007415A0" w:rsidRPr="009C0B31" w14:paraId="5364688A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CD09AF1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9D4CA5E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7415A0" w:rsidRPr="009C0B31" w14:paraId="54A45311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E0B61A8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25AE369C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771CA9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3754351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7415A0" w:rsidRPr="009C0B31" w14:paraId="78D7004E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F138872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B664C0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E7EFDAF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7415A0" w:rsidRPr="009C0B31" w14:paraId="48277A4D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FDE7342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3F8BAEB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3B348CF2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D8BA6E7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18EB7F8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415A0" w:rsidRPr="009C0B31" w14:paraId="6B20C6AE" w14:textId="77777777" w:rsidTr="00C45CC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A0FF04F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0830316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D1A043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A1F6AD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251E73D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393A0281" w14:textId="77777777" w:rsidTr="00C45CC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372F1E7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BB70BF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8524BBC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83038B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CFBF6DC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415A0" w:rsidRPr="009C0B31" w14:paraId="234C47F1" w14:textId="77777777" w:rsidTr="00C45CC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17EEBA1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D222E04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2F057829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070AA9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3D4C312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415A0" w:rsidRPr="009C0B31" w14:paraId="5EF772C3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FDF8712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D4DB70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9723F68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5165A4CE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5FA97F4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09A441D0" w14:textId="4C3DB98E" w:rsidR="007415A0" w:rsidRPr="009C0B31" w:rsidRDefault="00F33BA9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Type (eg.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7D7D77B0" w14:textId="15718C4D" w:rsidR="007415A0" w:rsidRPr="00B74B2E" w:rsidRDefault="00F33BA9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</w:t>
            </w:r>
            <w:r w:rsidR="007415A0">
              <w:rPr>
                <w:rFonts w:cs="Arial"/>
                <w:b/>
                <w:sz w:val="12"/>
                <w:szCs w:val="22"/>
                <w:lang w:val="en-US"/>
              </w:rPr>
              <w:t xml:space="preserve"> number (optional)</w:t>
            </w:r>
          </w:p>
        </w:tc>
      </w:tr>
    </w:tbl>
    <w:p w14:paraId="233FF9B1" w14:textId="0977B4A2" w:rsidR="007415A0" w:rsidRPr="00B74B2E" w:rsidRDefault="007415A0" w:rsidP="00A439CA">
      <w:pPr>
        <w:ind w:right="142"/>
        <w:jc w:val="left"/>
        <w:rPr>
          <w:rFonts w:eastAsia="Calibri" w:cs="Arial"/>
          <w:b/>
          <w:sz w:val="12"/>
          <w:szCs w:val="22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7415A0" w:rsidRPr="009C0B31" w14:paraId="0B0C2671" w14:textId="77777777" w:rsidTr="00B6531A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685ABC43" w14:textId="50595C61" w:rsidR="007415A0" w:rsidRPr="009C0B31" w:rsidRDefault="0001112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</w:rPr>
              <w:lastRenderedPageBreak/>
              <w:t>Respondent</w:t>
            </w:r>
            <w:r w:rsidR="00B6531A">
              <w:rPr>
                <w:rFonts w:cs="Arial"/>
              </w:rPr>
              <w:t xml:space="preserve"> (Subject)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BF542AF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3A195C49" w14:textId="77777777" w:rsidTr="00B6531A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C2B820F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5C295E73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7415A0" w:rsidRPr="009C0B31" w14:paraId="58716E2A" w14:textId="77777777" w:rsidTr="00B6531A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79F635AE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5765A41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4ABA381D" w14:textId="77777777" w:rsidTr="00B6531A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29C3985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E576B40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415A0" w:rsidRPr="009C0B31" w14:paraId="6F1A5910" w14:textId="77777777" w:rsidTr="00B6531A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5077D69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B630CEB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1F3832A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5FBBC67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25775C3D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6535BF56" w14:textId="77777777" w:rsidTr="00B6531A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60D7B0E6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DAA4B95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9227FC7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B8CB74E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40610626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415A0" w:rsidRPr="009C0B31" w14:paraId="02E9933D" w14:textId="77777777" w:rsidTr="00B6531A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59FA36C9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6F14901D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2DCA5C1A" w14:textId="77777777" w:rsidTr="00B6531A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55C23173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15EFDBA7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415A0" w:rsidRPr="009C0B31" w14:paraId="21FCC143" w14:textId="77777777" w:rsidTr="00B6531A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473C2165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68D9F243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C2FD4A0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64ABD749" w14:textId="77777777" w:rsidTr="00B6531A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88EF796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1FBD23F0" w14:textId="1657E05D" w:rsidR="007415A0" w:rsidRPr="009C0B31" w:rsidRDefault="00F33BA9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Type (eg.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36187E23" w14:textId="3DE76D60" w:rsidR="007415A0" w:rsidRPr="00B74B2E" w:rsidRDefault="00F33BA9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7415A0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tr w:rsidR="007415A0" w:rsidRPr="009C0B31" w14:paraId="2BADEC8B" w14:textId="77777777" w:rsidTr="00B6531A">
        <w:tblPrEx>
          <w:jc w:val="left"/>
        </w:tblPrEx>
        <w:trPr>
          <w:trHeight w:val="454"/>
        </w:trPr>
        <w:tc>
          <w:tcPr>
            <w:tcW w:w="2578" w:type="dxa"/>
            <w:vMerge w:val="restart"/>
          </w:tcPr>
          <w:p w14:paraId="4D5900F9" w14:textId="1F00DB1E" w:rsidR="007415A0" w:rsidRPr="00EB0FE7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Date of birth and licence number 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6A8720B4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5CFE87D5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647FD5E5" w14:textId="77777777" w:rsidTr="00B6531A">
        <w:tblPrEx>
          <w:jc w:val="left"/>
        </w:tblPrEx>
        <w:trPr>
          <w:trHeight w:val="132"/>
        </w:trPr>
        <w:tc>
          <w:tcPr>
            <w:tcW w:w="2578" w:type="dxa"/>
            <w:vMerge/>
          </w:tcPr>
          <w:p w14:paraId="4A585521" w14:textId="77777777" w:rsidR="007415A0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  <w:vAlign w:val="bottom"/>
          </w:tcPr>
          <w:p w14:paraId="39C6BB84" w14:textId="77777777" w:rsidR="007415A0" w:rsidRPr="00AA5378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>
              <w:rPr>
                <w:rFonts w:cs="Arial"/>
                <w:b/>
                <w:sz w:val="12"/>
                <w:szCs w:val="12"/>
                <w:lang w:val="en-US"/>
              </w:rPr>
              <w:t xml:space="preserve">Date of birth </w:t>
            </w:r>
          </w:p>
        </w:tc>
        <w:tc>
          <w:tcPr>
            <w:tcW w:w="3946" w:type="dxa"/>
            <w:gridSpan w:val="2"/>
            <w:tcBorders>
              <w:top w:val="nil"/>
            </w:tcBorders>
            <w:vAlign w:val="bottom"/>
          </w:tcPr>
          <w:p w14:paraId="18147958" w14:textId="0DDC99BC" w:rsidR="007415A0" w:rsidRPr="00AA5378" w:rsidRDefault="00F33BA9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>
              <w:rPr>
                <w:rFonts w:cs="Arial"/>
                <w:b/>
                <w:sz w:val="12"/>
                <w:szCs w:val="12"/>
                <w:lang w:val="en-US"/>
              </w:rPr>
              <w:t xml:space="preserve">Driver’s </w:t>
            </w:r>
            <w:r w:rsidR="007415A0">
              <w:rPr>
                <w:rFonts w:cs="Arial"/>
                <w:b/>
                <w:sz w:val="12"/>
                <w:szCs w:val="12"/>
                <w:lang w:val="en-US"/>
              </w:rPr>
              <w:t>Licence number</w:t>
            </w:r>
          </w:p>
        </w:tc>
      </w:tr>
      <w:bookmarkEnd w:id="0"/>
      <w:bookmarkEnd w:id="1"/>
    </w:tbl>
    <w:p w14:paraId="7004C554" w14:textId="308B6709" w:rsidR="00E6662E" w:rsidRDefault="00E6662E" w:rsidP="007415A0">
      <w:pPr>
        <w:spacing w:before="120" w:after="120"/>
        <w:ind w:right="142"/>
        <w:rPr>
          <w:rFonts w:asciiTheme="minorHAnsi" w:hAnsiTheme="minorHAnsi" w:cs="Calibri"/>
          <w:b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FE6967">
        <w:tc>
          <w:tcPr>
            <w:tcW w:w="5000" w:type="pct"/>
          </w:tcPr>
          <w:p w14:paraId="484EA938" w14:textId="77777777" w:rsidR="00A648B8" w:rsidRPr="00900581" w:rsidRDefault="00A648B8" w:rsidP="00202C1B">
            <w:pPr>
              <w:spacing w:before="240" w:line="276" w:lineRule="auto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0D749055" w14:textId="7B19C795" w:rsidR="00CD6FAC" w:rsidRPr="00CD6FAC" w:rsidRDefault="00CD6FAC" w:rsidP="00A439CA">
            <w:pPr>
              <w:spacing w:before="240" w:line="276" w:lineRule="auto"/>
              <w:ind w:right="57"/>
              <w:rPr>
                <w:rFonts w:cs="Arial"/>
                <w:i/>
              </w:rPr>
            </w:pPr>
            <w:r w:rsidRPr="00CD6FAC">
              <w:rPr>
                <w:rFonts w:cs="Arial"/>
              </w:rPr>
              <w:t>Matter type:</w:t>
            </w:r>
            <w:r w:rsidRPr="00CD6FAC">
              <w:rPr>
                <w:rFonts w:cs="Arial"/>
                <w:i/>
              </w:rPr>
              <w:t xml:space="preserve"> </w:t>
            </w:r>
          </w:p>
          <w:p w14:paraId="5FE0F303" w14:textId="600F8295" w:rsidR="00B81505" w:rsidRDefault="00B81505" w:rsidP="00202C1B">
            <w:pPr>
              <w:spacing w:before="240" w:line="276" w:lineRule="auto"/>
              <w:ind w:right="57"/>
              <w:rPr>
                <w:rFonts w:cs="Arial"/>
              </w:rPr>
            </w:pPr>
            <w:r w:rsidRPr="00060057">
              <w:rPr>
                <w:rFonts w:cs="Arial"/>
              </w:rPr>
              <w:t>Original Case Number: [</w:t>
            </w:r>
            <w:r w:rsidRPr="001F5848">
              <w:rPr>
                <w:rFonts w:cs="Arial"/>
                <w:i/>
                <w:iCs/>
              </w:rPr>
              <w:t xml:space="preserve">Enter </w:t>
            </w:r>
            <w:r w:rsidRPr="00060057">
              <w:rPr>
                <w:rFonts w:cs="Arial"/>
                <w:i/>
              </w:rPr>
              <w:t>original case number</w:t>
            </w:r>
            <w:r w:rsidRPr="00060057">
              <w:rPr>
                <w:rFonts w:cs="Arial"/>
              </w:rPr>
              <w:t>]</w:t>
            </w:r>
          </w:p>
          <w:p w14:paraId="4E1188A3" w14:textId="6104774A" w:rsidR="002E337F" w:rsidRPr="00060057" w:rsidRDefault="002E337F" w:rsidP="00202C1B">
            <w:pPr>
              <w:spacing w:before="240" w:line="276" w:lineRule="auto"/>
              <w:ind w:right="57"/>
              <w:rPr>
                <w:rFonts w:cs="Arial"/>
              </w:rPr>
            </w:pPr>
            <w:r w:rsidRPr="00CD6FAC">
              <w:rPr>
                <w:rFonts w:cs="Arial"/>
              </w:rPr>
              <w:t xml:space="preserve">This Application </w:t>
            </w:r>
            <w:r>
              <w:rPr>
                <w:rFonts w:cs="Arial"/>
              </w:rPr>
              <w:t xml:space="preserve">and Notice of Referral </w:t>
            </w:r>
            <w:r w:rsidRPr="00CD6FAC">
              <w:rPr>
                <w:rFonts w:cs="Arial"/>
              </w:rPr>
              <w:t xml:space="preserve">is </w:t>
            </w:r>
            <w:r>
              <w:rPr>
                <w:rFonts w:cs="Arial"/>
              </w:rPr>
              <w:t xml:space="preserve">notice that the Parole Board </w:t>
            </w:r>
            <w:r w:rsidRPr="00B707F9">
              <w:rPr>
                <w:rFonts w:cs="Arial"/>
              </w:rPr>
              <w:t>direct</w:t>
            </w:r>
            <w:r>
              <w:rPr>
                <w:rFonts w:cs="Arial"/>
              </w:rPr>
              <w:t xml:space="preserve">ed under section 17(1)(b)(ii) of the </w:t>
            </w:r>
            <w:r>
              <w:rPr>
                <w:rFonts w:cs="Arial"/>
                <w:i/>
              </w:rPr>
              <w:t xml:space="preserve">Criminal Law (High Risk Offenders) Act </w:t>
            </w:r>
            <w:r w:rsidRPr="00C53601">
              <w:rPr>
                <w:rFonts w:cs="Arial"/>
                <w:i/>
              </w:rPr>
              <w:t>2015</w:t>
            </w:r>
            <w:r>
              <w:rPr>
                <w:rFonts w:cs="Arial"/>
                <w:i/>
              </w:rPr>
              <w:t xml:space="preserve"> </w:t>
            </w:r>
            <w:r w:rsidRPr="00B707F9">
              <w:rPr>
                <w:rFonts w:cs="Arial"/>
              </w:rPr>
              <w:t xml:space="preserve"> that the </w:t>
            </w:r>
            <w:r>
              <w:rPr>
                <w:rFonts w:cs="Arial"/>
              </w:rPr>
              <w:t>respondent</w:t>
            </w:r>
            <w:r w:rsidRPr="00B707F9">
              <w:rPr>
                <w:rFonts w:cs="Arial"/>
              </w:rPr>
              <w:t xml:space="preserve"> be detained in custody pending attendance before the Court for determination as to whether a </w:t>
            </w:r>
            <w:hyperlink r:id="rId9" w:anchor="continuing_detention_order" w:history="1">
              <w:r w:rsidRPr="00B707F9">
                <w:rPr>
                  <w:rFonts w:cs="Arial"/>
                </w:rPr>
                <w:t>continuing detention</w:t>
              </w:r>
            </w:hyperlink>
            <w:r w:rsidRPr="00B707F9">
              <w:rPr>
                <w:rFonts w:cs="Arial"/>
              </w:rPr>
              <w:t> </w:t>
            </w:r>
            <w:hyperlink r:id="rId10" w:anchor="continuing_detention_order" w:history="1">
              <w:r w:rsidRPr="00B707F9">
                <w:rPr>
                  <w:rFonts w:cs="Arial"/>
                </w:rPr>
                <w:t>order</w:t>
              </w:r>
            </w:hyperlink>
            <w:r w:rsidRPr="00B707F9">
              <w:rPr>
                <w:rFonts w:cs="Arial"/>
              </w:rPr>
              <w:t> should be made in respect of the</w:t>
            </w:r>
            <w:r>
              <w:rPr>
                <w:rFonts w:cs="Arial"/>
              </w:rPr>
              <w:t xml:space="preserve"> respondent and t</w:t>
            </w:r>
            <w:r w:rsidRPr="00B707F9">
              <w:rPr>
                <w:rFonts w:cs="Arial"/>
              </w:rPr>
              <w:t xml:space="preserve">he matter is referred to the Court by force of </w:t>
            </w:r>
            <w:r>
              <w:rPr>
                <w:rFonts w:cs="Arial"/>
              </w:rPr>
              <w:t>section 18(1) for such determination.</w:t>
            </w:r>
          </w:p>
          <w:p w14:paraId="03BB0D4F" w14:textId="12B9FA70" w:rsidR="00CD6FAC" w:rsidRPr="00CD6FAC" w:rsidRDefault="00CD6FAC" w:rsidP="00202C1B">
            <w:pPr>
              <w:spacing w:before="240" w:after="240" w:line="276" w:lineRule="auto"/>
              <w:ind w:right="57"/>
              <w:rPr>
                <w:rFonts w:cs="Arial"/>
              </w:rPr>
            </w:pPr>
            <w:r w:rsidRPr="00CD6FAC">
              <w:rPr>
                <w:rFonts w:cs="Arial"/>
              </w:rPr>
              <w:t>This Application</w:t>
            </w:r>
            <w:r w:rsidR="002E337F">
              <w:rPr>
                <w:rFonts w:cs="Arial"/>
              </w:rPr>
              <w:t xml:space="preserve"> and Notice of Referral</w:t>
            </w:r>
            <w:r w:rsidRPr="00CD6FAC">
              <w:rPr>
                <w:rFonts w:cs="Arial"/>
              </w:rPr>
              <w:t xml:space="preserve"> is made under </w:t>
            </w:r>
            <w:r w:rsidR="00C84DC5">
              <w:rPr>
                <w:rFonts w:cs="Arial"/>
              </w:rPr>
              <w:t>section</w:t>
            </w:r>
            <w:r w:rsidR="0015105E">
              <w:rPr>
                <w:rFonts w:cs="Arial"/>
              </w:rPr>
              <w:t>s 17(1)(</w:t>
            </w:r>
            <w:r w:rsidR="002E337F">
              <w:rPr>
                <w:rFonts w:cs="Arial"/>
              </w:rPr>
              <w:t>b</w:t>
            </w:r>
            <w:r w:rsidR="0015105E">
              <w:rPr>
                <w:rFonts w:cs="Arial"/>
              </w:rPr>
              <w:t>)(ii) and</w:t>
            </w:r>
            <w:r w:rsidR="00C84DC5">
              <w:rPr>
                <w:rFonts w:cs="Arial"/>
              </w:rPr>
              <w:t xml:space="preserve"> </w:t>
            </w:r>
            <w:r w:rsidR="005F7310">
              <w:rPr>
                <w:rFonts w:cs="Arial"/>
              </w:rPr>
              <w:t>18</w:t>
            </w:r>
            <w:r w:rsidR="002E337F">
              <w:rPr>
                <w:rFonts w:cs="Arial"/>
              </w:rPr>
              <w:t>(1)</w:t>
            </w:r>
            <w:r w:rsidR="00C84DC5">
              <w:rPr>
                <w:rFonts w:cs="Arial"/>
              </w:rPr>
              <w:t xml:space="preserve"> of the </w:t>
            </w:r>
            <w:r w:rsidR="005F7310">
              <w:rPr>
                <w:rFonts w:cs="Arial"/>
                <w:i/>
              </w:rPr>
              <w:t xml:space="preserve">Criminal Law (High Risk Offenders) Act </w:t>
            </w:r>
            <w:r w:rsidR="005F7310" w:rsidRPr="00C53601">
              <w:rPr>
                <w:rFonts w:cs="Arial"/>
                <w:i/>
              </w:rPr>
              <w:t>2015</w:t>
            </w:r>
            <w:r w:rsidR="00C84DC5">
              <w:rPr>
                <w:rFonts w:cs="Arial"/>
              </w:rPr>
              <w:t>.</w:t>
            </w:r>
          </w:p>
          <w:p w14:paraId="5DDF7AA3" w14:textId="77777777" w:rsidR="00000D89" w:rsidRPr="001A0844" w:rsidRDefault="00000D89" w:rsidP="00202C1B">
            <w:pPr>
              <w:spacing w:before="240" w:line="276" w:lineRule="auto"/>
              <w:ind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1A0844"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 xml:space="preserve"> Applicant seeks the following o</w:t>
            </w:r>
            <w:r w:rsidRPr="001A0844">
              <w:rPr>
                <w:rFonts w:asciiTheme="minorHAnsi" w:hAnsiTheme="minorHAnsi" w:cstheme="minorHAnsi"/>
              </w:rPr>
              <w:t>rders:</w:t>
            </w:r>
          </w:p>
          <w:p w14:paraId="61709AED" w14:textId="7812725F" w:rsidR="00000D89" w:rsidRPr="00482F13" w:rsidRDefault="00000D89" w:rsidP="00202C1B">
            <w:pPr>
              <w:spacing w:after="120" w:line="276" w:lineRule="auto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>O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</w:t>
            </w:r>
            <w:r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589A66F7" w14:textId="1520FB9F" w:rsidR="005F7310" w:rsidRPr="00F82646" w:rsidRDefault="002E337F" w:rsidP="00202C1B">
            <w:pPr>
              <w:pStyle w:val="ListParagraph"/>
              <w:numPr>
                <w:ilvl w:val="0"/>
                <w:numId w:val="15"/>
              </w:numPr>
              <w:spacing w:before="120" w:line="276" w:lineRule="auto"/>
              <w:ind w:left="306" w:right="142" w:hanging="357"/>
              <w:contextualSpacing w:val="0"/>
              <w:rPr>
                <w:rFonts w:cs="Arial"/>
                <w:lang w:val="en-US"/>
              </w:rPr>
            </w:pPr>
            <w:r>
              <w:rPr>
                <w:rFonts w:cs="Arial"/>
              </w:rPr>
              <w:t>A determination whether t</w:t>
            </w:r>
            <w:r w:rsidR="005A6D81" w:rsidRPr="006D12F8">
              <w:rPr>
                <w:rFonts w:cs="Arial"/>
              </w:rPr>
              <w:t xml:space="preserve">he </w:t>
            </w:r>
            <w:r w:rsidR="00011120">
              <w:rPr>
                <w:rFonts w:cs="Arial"/>
              </w:rPr>
              <w:t>Respondent</w:t>
            </w:r>
            <w:r w:rsidR="005A6D81" w:rsidRPr="006D12F8">
              <w:rPr>
                <w:rFonts w:cs="Arial"/>
              </w:rPr>
              <w:t xml:space="preserve"> </w:t>
            </w:r>
            <w:r w:rsidR="005F7310" w:rsidRPr="006D12F8">
              <w:rPr>
                <w:rFonts w:cs="Arial"/>
                <w:lang w:val="en-US"/>
              </w:rPr>
              <w:t xml:space="preserve">be detained </w:t>
            </w:r>
            <w:r w:rsidR="00E0613D" w:rsidRPr="006D12F8">
              <w:rPr>
                <w:rFonts w:cs="Arial"/>
              </w:rPr>
              <w:t>pursuant to</w:t>
            </w:r>
            <w:r w:rsidR="005F7310" w:rsidRPr="006D12F8">
              <w:rPr>
                <w:rFonts w:cs="Arial"/>
              </w:rPr>
              <w:t xml:space="preserve"> section 18 of the </w:t>
            </w:r>
            <w:r w:rsidR="005F7310" w:rsidRPr="006D12F8">
              <w:rPr>
                <w:rFonts w:cs="Arial"/>
                <w:i/>
              </w:rPr>
              <w:t>Criminal Law (High Risk Offenders) Act 2015</w:t>
            </w:r>
            <w:r>
              <w:rPr>
                <w:rFonts w:cs="Arial"/>
                <w:i/>
              </w:rPr>
              <w:t>.</w:t>
            </w:r>
            <w:r w:rsidR="005F7310" w:rsidRPr="006D12F8">
              <w:rPr>
                <w:rFonts w:cs="Arial"/>
                <w:iCs/>
              </w:rPr>
              <w:t xml:space="preserve"> </w:t>
            </w:r>
          </w:p>
          <w:p w14:paraId="7DA3C669" w14:textId="2D61BA49" w:rsidR="00F82646" w:rsidRPr="006D12F8" w:rsidRDefault="00F82646" w:rsidP="00202C1B">
            <w:pPr>
              <w:pStyle w:val="ListParagraph"/>
              <w:numPr>
                <w:ilvl w:val="0"/>
                <w:numId w:val="15"/>
              </w:numPr>
              <w:spacing w:before="120" w:line="276" w:lineRule="auto"/>
              <w:ind w:left="306" w:right="142" w:hanging="357"/>
              <w:contextualSpacing w:val="0"/>
              <w:rPr>
                <w:rFonts w:cs="Arial"/>
                <w:lang w:val="en-US"/>
              </w:rPr>
            </w:pPr>
            <w:r>
              <w:rPr>
                <w:rFonts w:cs="Arial"/>
              </w:rPr>
              <w:t>[</w:t>
            </w:r>
            <w:r w:rsidRPr="00F82646">
              <w:rPr>
                <w:rFonts w:cs="Arial"/>
                <w:i/>
                <w:iCs/>
              </w:rPr>
              <w:t>other orders</w:t>
            </w:r>
            <w:r>
              <w:rPr>
                <w:rFonts w:cs="Arial"/>
              </w:rPr>
              <w:t>]</w:t>
            </w:r>
          </w:p>
          <w:p w14:paraId="0A85DE5E" w14:textId="10753E12" w:rsidR="00CD6FAC" w:rsidRDefault="00000D89" w:rsidP="002E337F">
            <w:pPr>
              <w:spacing w:before="240" w:line="276" w:lineRule="auto"/>
              <w:ind w:left="459" w:right="57" w:hanging="459"/>
              <w:jc w:val="left"/>
              <w:rPr>
                <w:rFonts w:cs="Arial"/>
              </w:rPr>
            </w:pPr>
            <w:r w:rsidRPr="00000D89">
              <w:rPr>
                <w:rFonts w:cs="Arial"/>
                <w:lang w:val="en-US"/>
              </w:rPr>
              <w:t>This Application</w:t>
            </w:r>
            <w:r w:rsidR="002E337F">
              <w:rPr>
                <w:rFonts w:cs="Arial"/>
                <w:lang w:val="en-US"/>
              </w:rPr>
              <w:t xml:space="preserve"> and Notice of Referral</w:t>
            </w:r>
            <w:r w:rsidRPr="00000D89">
              <w:rPr>
                <w:rFonts w:cs="Arial"/>
                <w:lang w:val="en-US"/>
              </w:rPr>
              <w:t xml:space="preserve"> is made on the grounds</w:t>
            </w:r>
            <w:r w:rsidR="00F82646">
              <w:rPr>
                <w:rFonts w:cs="Arial"/>
                <w:lang w:val="en-US"/>
              </w:rPr>
              <w:t xml:space="preserve"> </w:t>
            </w:r>
            <w:r w:rsidRPr="00000D89">
              <w:rPr>
                <w:rFonts w:cs="Arial"/>
                <w:lang w:val="en-US"/>
              </w:rPr>
              <w:t xml:space="preserve">set out </w:t>
            </w:r>
            <w:r w:rsidR="002E337F">
              <w:rPr>
                <w:rFonts w:cs="Arial"/>
                <w:lang w:val="en-US"/>
              </w:rPr>
              <w:t xml:space="preserve">above. </w:t>
            </w:r>
          </w:p>
          <w:p w14:paraId="2744A419" w14:textId="77777777" w:rsidR="007C2130" w:rsidRPr="003310A8" w:rsidRDefault="007C2130" w:rsidP="00202C1B">
            <w:pPr>
              <w:spacing w:before="240" w:line="276" w:lineRule="auto"/>
              <w:ind w:left="459" w:right="57" w:hanging="459"/>
              <w:rPr>
                <w:rFonts w:cs="Arial"/>
                <w:b/>
              </w:rPr>
            </w:pPr>
            <w:r w:rsidRPr="003310A8">
              <w:rPr>
                <w:rFonts w:cs="Arial"/>
                <w:b/>
                <w:sz w:val="12"/>
              </w:rPr>
              <w:t>If applicable</w:t>
            </w:r>
            <w:r w:rsidRPr="003310A8">
              <w:rPr>
                <w:rFonts w:cs="Arial"/>
                <w:b/>
              </w:rPr>
              <w:t xml:space="preserve"> </w:t>
            </w:r>
          </w:p>
          <w:p w14:paraId="0F582B5A" w14:textId="77777777" w:rsidR="007C2130" w:rsidRPr="007C2130" w:rsidRDefault="007C2130" w:rsidP="00202C1B">
            <w:pPr>
              <w:spacing w:line="276" w:lineRule="auto"/>
              <w:ind w:left="459" w:right="57" w:hanging="459"/>
              <w:rPr>
                <w:rFonts w:cs="Arial"/>
              </w:rPr>
            </w:pPr>
            <w:r w:rsidRPr="007C2130">
              <w:rPr>
                <w:rFonts w:cs="Arial"/>
              </w:rPr>
              <w:t xml:space="preserve">The Application is urgent because </w:t>
            </w:r>
          </w:p>
          <w:p w14:paraId="4483CE1F" w14:textId="77777777" w:rsidR="007C2130" w:rsidRPr="007C2130" w:rsidRDefault="007C2130" w:rsidP="00202C1B">
            <w:pPr>
              <w:spacing w:after="120" w:line="276" w:lineRule="auto"/>
              <w:ind w:left="459" w:right="57" w:hanging="459"/>
              <w:rPr>
                <w:rFonts w:cs="Arial"/>
                <w:b/>
                <w:sz w:val="12"/>
              </w:rPr>
            </w:pPr>
            <w:r w:rsidRPr="007C2130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1F92D991" w14:textId="1068E301" w:rsidR="009C131B" w:rsidRPr="00202C1B" w:rsidRDefault="009C131B" w:rsidP="00202C1B">
            <w:pPr>
              <w:numPr>
                <w:ilvl w:val="0"/>
                <w:numId w:val="14"/>
              </w:numPr>
              <w:spacing w:after="240" w:line="276" w:lineRule="auto"/>
              <w:ind w:left="306" w:right="57" w:hanging="357"/>
              <w:rPr>
                <w:rFonts w:asciiTheme="minorHAnsi" w:hAnsiTheme="minorHAnsi" w:cs="Calibri"/>
              </w:rPr>
            </w:pPr>
          </w:p>
        </w:tc>
      </w:tr>
    </w:tbl>
    <w:p w14:paraId="1FB7BEA8" w14:textId="286F0E75" w:rsidR="009A54A7" w:rsidRDefault="009A54A7" w:rsidP="00202C1B">
      <w:pPr>
        <w:spacing w:before="120" w:after="120" w:line="276" w:lineRule="auto"/>
        <w:ind w:right="142"/>
        <w:rPr>
          <w:rFonts w:asciiTheme="minorHAnsi" w:hAnsiTheme="minorHAnsi" w:cs="Calibri"/>
          <w:b/>
          <w:szCs w:val="12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396FF4" w:rsidRPr="00900581" w14:paraId="155C8CD0" w14:textId="77777777" w:rsidTr="0080238C">
        <w:trPr>
          <w:cantSplit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B05D2" w14:textId="77777777" w:rsidR="00396FF4" w:rsidRPr="00900581" w:rsidRDefault="00396FF4" w:rsidP="00157D3C">
            <w:pPr>
              <w:spacing w:before="24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To the O</w:t>
            </w:r>
            <w:r w:rsidRPr="00900581">
              <w:rPr>
                <w:rFonts w:asciiTheme="minorHAnsi" w:hAnsiTheme="minorHAnsi" w:cs="Calibri"/>
                <w:b/>
              </w:rPr>
              <w:t xml:space="preserve">ther </w:t>
            </w:r>
            <w:r>
              <w:rPr>
                <w:rFonts w:asciiTheme="minorHAnsi" w:hAnsiTheme="minorHAnsi" w:cs="Calibri"/>
                <w:b/>
              </w:rPr>
              <w:t>P</w:t>
            </w:r>
            <w:r w:rsidRPr="00900581">
              <w:rPr>
                <w:rFonts w:asciiTheme="minorHAnsi" w:hAnsiTheme="minorHAnsi" w:cs="Calibri"/>
                <w:b/>
              </w:rPr>
              <w:t>arties: WARNING</w:t>
            </w:r>
          </w:p>
          <w:p w14:paraId="700B19FC" w14:textId="58710FFD" w:rsidR="00396FF4" w:rsidRPr="00900581" w:rsidRDefault="00396FF4" w:rsidP="00202C1B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This Application </w:t>
            </w:r>
            <w:r w:rsidR="002E337F">
              <w:rPr>
                <w:rFonts w:asciiTheme="minorHAnsi" w:hAnsiTheme="minorHAnsi" w:cs="Calibri"/>
              </w:rPr>
              <w:t xml:space="preserve">and Notice of Referral </w:t>
            </w:r>
            <w:r w:rsidRPr="00900581">
              <w:rPr>
                <w:rFonts w:asciiTheme="minorHAnsi" w:hAnsiTheme="minorHAnsi" w:cs="Calibri"/>
              </w:rPr>
              <w:t xml:space="preserve">will be considered at the </w:t>
            </w:r>
            <w:r>
              <w:rPr>
                <w:rFonts w:asciiTheme="minorHAnsi" w:hAnsiTheme="minorHAnsi" w:cs="Calibri"/>
              </w:rPr>
              <w:t>H</w:t>
            </w:r>
            <w:r w:rsidRPr="00900581">
              <w:rPr>
                <w:rFonts w:asciiTheme="minorHAnsi" w:hAnsiTheme="minorHAnsi" w:cs="Calibri"/>
              </w:rPr>
              <w:t>earing at the date and time set o</w:t>
            </w:r>
            <w:r>
              <w:rPr>
                <w:rFonts w:asciiTheme="minorHAnsi" w:hAnsiTheme="minorHAnsi" w:cs="Calibri"/>
              </w:rPr>
              <w:t>ut at the top of this document.</w:t>
            </w:r>
          </w:p>
          <w:p w14:paraId="74703DDC" w14:textId="299BB1A1" w:rsidR="00396FF4" w:rsidRDefault="00396FF4" w:rsidP="0051343B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If you wish to oppose the </w:t>
            </w:r>
            <w:r w:rsidR="002E337F">
              <w:rPr>
                <w:rFonts w:asciiTheme="minorHAnsi" w:hAnsiTheme="minorHAnsi" w:cs="Calibri"/>
              </w:rPr>
              <w:t xml:space="preserve">making of a continuing detention order </w:t>
            </w:r>
            <w:r w:rsidRPr="00900581">
              <w:rPr>
                <w:rFonts w:asciiTheme="minorHAnsi" w:hAnsiTheme="minorHAnsi" w:cs="Calibri"/>
              </w:rPr>
              <w:t>or make submissions about it</w:t>
            </w:r>
            <w:r w:rsidR="0051343B">
              <w:rPr>
                <w:rFonts w:asciiTheme="minorHAnsi" w:hAnsiTheme="minorHAnsi" w:cs="Calibri"/>
              </w:rPr>
              <w:t xml:space="preserve">, </w:t>
            </w:r>
            <w:r w:rsidRPr="009014E9">
              <w:rPr>
                <w:rFonts w:asciiTheme="minorHAnsi" w:hAnsiTheme="minorHAnsi" w:cs="Calibri"/>
              </w:rPr>
              <w:t xml:space="preserve">you </w:t>
            </w:r>
            <w:r w:rsidRPr="004635F2">
              <w:rPr>
                <w:rFonts w:asciiTheme="minorHAnsi" w:hAnsiTheme="minorHAnsi" w:cs="Calibri"/>
              </w:rPr>
              <w:t>must</w:t>
            </w:r>
            <w:r w:rsidRPr="009014E9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attend the h</w:t>
            </w:r>
            <w:r w:rsidRPr="00AA3024">
              <w:rPr>
                <w:rFonts w:asciiTheme="minorHAnsi" w:hAnsiTheme="minorHAnsi" w:cs="Calibri"/>
              </w:rPr>
              <w:t>earing</w:t>
            </w:r>
            <w:r w:rsidR="0051343B">
              <w:rPr>
                <w:rFonts w:asciiTheme="minorHAnsi" w:hAnsiTheme="minorHAnsi" w:cs="Calibri"/>
              </w:rPr>
              <w:t xml:space="preserve">. </w:t>
            </w:r>
            <w:r w:rsidRPr="00900581">
              <w:rPr>
                <w:rFonts w:asciiTheme="minorHAnsi" w:hAnsiTheme="minorHAnsi" w:cs="Calibri"/>
              </w:rPr>
              <w:t xml:space="preserve">If you do not do so, the Court may proceed in your absence and </w:t>
            </w:r>
            <w:r>
              <w:rPr>
                <w:rFonts w:asciiTheme="minorHAnsi" w:hAnsiTheme="minorHAnsi" w:cs="Calibri"/>
              </w:rPr>
              <w:t>o</w:t>
            </w:r>
            <w:r w:rsidRPr="00900581">
              <w:rPr>
                <w:rFonts w:asciiTheme="minorHAnsi" w:hAnsiTheme="minorHAnsi" w:cs="Calibri"/>
              </w:rPr>
              <w:t xml:space="preserve">rders may be made </w:t>
            </w:r>
            <w:r w:rsidRPr="00900581">
              <w:rPr>
                <w:rFonts w:asciiTheme="minorHAnsi" w:hAnsiTheme="minorHAnsi" w:cs="Calibri"/>
                <w:b/>
              </w:rPr>
              <w:t>finally determining</w:t>
            </w:r>
            <w:r w:rsidRPr="00900581">
              <w:rPr>
                <w:rFonts w:asciiTheme="minorHAnsi" w:hAnsiTheme="minorHAnsi" w:cs="Calibri"/>
              </w:rPr>
              <w:t xml:space="preserve"> this proceeding </w:t>
            </w:r>
            <w:r>
              <w:rPr>
                <w:rFonts w:asciiTheme="minorHAnsi" w:hAnsiTheme="minorHAnsi" w:cs="Calibri"/>
              </w:rPr>
              <w:t>without further warning.</w:t>
            </w:r>
          </w:p>
          <w:p w14:paraId="110203E8" w14:textId="4BB712AE" w:rsidR="00396FF4" w:rsidRPr="00900581" w:rsidRDefault="00396FF4" w:rsidP="00202C1B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For instructions on how to obtain access to the file, visit https://courtsa.courts.sa.gov.au/?g=node/482</w:t>
            </w:r>
            <w:r w:rsidR="005F7DA8">
              <w:rPr>
                <w:rFonts w:asciiTheme="minorHAnsi" w:hAnsiTheme="minorHAnsi" w:cs="Calibri"/>
              </w:rPr>
              <w:t>.</w:t>
            </w:r>
            <w:r>
              <w:rPr>
                <w:rFonts w:asciiTheme="minorHAnsi" w:hAnsiTheme="minorHAnsi" w:cs="Calibri"/>
              </w:rPr>
              <w:t xml:space="preserve">  </w:t>
            </w:r>
          </w:p>
        </w:tc>
      </w:tr>
    </w:tbl>
    <w:p w14:paraId="4A52445A" w14:textId="072A62D6" w:rsidR="006241B6" w:rsidRPr="00E6662E" w:rsidRDefault="006241B6" w:rsidP="00202C1B">
      <w:pPr>
        <w:spacing w:before="120" w:after="120" w:line="276" w:lineRule="auto"/>
        <w:ind w:right="142"/>
        <w:rPr>
          <w:rFonts w:asciiTheme="minorHAnsi" w:hAnsiTheme="minorHAnsi" w:cs="Calibri"/>
          <w:b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1CC3C5E" w14:textId="77777777" w:rsidTr="009014E9">
        <w:tc>
          <w:tcPr>
            <w:tcW w:w="10457" w:type="dxa"/>
          </w:tcPr>
          <w:p w14:paraId="511517DF" w14:textId="77777777" w:rsidR="006241B6" w:rsidRPr="00900581" w:rsidRDefault="006241B6" w:rsidP="00157D3C">
            <w:pPr>
              <w:spacing w:before="240" w:after="120" w:line="276" w:lineRule="auto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lastRenderedPageBreak/>
              <w:t>Service</w:t>
            </w:r>
          </w:p>
          <w:p w14:paraId="3E4D97FB" w14:textId="77777777" w:rsidR="006241B6" w:rsidRPr="00900581" w:rsidRDefault="006241B6" w:rsidP="00157D3C">
            <w:pPr>
              <w:spacing w:before="120" w:after="120" w:line="276" w:lineRule="auto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58F1244E" w14:textId="621F6821" w:rsidR="007072B1" w:rsidRDefault="007072B1" w:rsidP="00202C1B">
      <w:pPr>
        <w:spacing w:before="120" w:after="120" w:line="276" w:lineRule="auto"/>
        <w:ind w:right="142"/>
        <w:rPr>
          <w:rFonts w:asciiTheme="minorHAnsi" w:hAnsiTheme="minorHAnsi" w:cs="Calibri"/>
          <w:b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0238C" w:rsidRPr="00900581" w14:paraId="09B7E819" w14:textId="77777777" w:rsidTr="009C1B39">
        <w:tc>
          <w:tcPr>
            <w:tcW w:w="10602" w:type="dxa"/>
          </w:tcPr>
          <w:p w14:paraId="01E3C061" w14:textId="77777777" w:rsidR="0080238C" w:rsidRDefault="0080238C" w:rsidP="00157D3C">
            <w:pPr>
              <w:spacing w:before="240" w:line="276" w:lineRule="auto"/>
              <w:jc w:val="left"/>
              <w:rPr>
                <w:rFonts w:asciiTheme="minorHAnsi" w:hAnsiTheme="minorHAnsi" w:cs="Calibri"/>
                <w:b/>
              </w:rPr>
            </w:pPr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5C846CD0" w14:textId="77777777" w:rsidR="0080238C" w:rsidRPr="00900581" w:rsidRDefault="0080238C" w:rsidP="00A439CA">
            <w:pPr>
              <w:tabs>
                <w:tab w:val="right" w:pos="10773"/>
              </w:tabs>
              <w:spacing w:before="120"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5F4F4FDC" w14:textId="080D10F2" w:rsidR="0080238C" w:rsidRPr="00D57237" w:rsidRDefault="0080238C" w:rsidP="00202C1B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D57237">
              <w:rPr>
                <w:rFonts w:asciiTheme="majorHAnsi" w:hAnsiTheme="majorHAnsi" w:cstheme="majorHAnsi"/>
              </w:rPr>
              <w:t xml:space="preserve">Multilingual Notice </w:t>
            </w:r>
            <w:r w:rsidRPr="00D57237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00B7A522" w14:textId="3E94A62C" w:rsidR="0080238C" w:rsidRPr="0051343B" w:rsidRDefault="0080238C" w:rsidP="00202C1B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D57237">
              <w:rPr>
                <w:rFonts w:asciiTheme="majorHAnsi" w:hAnsiTheme="majorHAnsi" w:cstheme="majorHAnsi"/>
              </w:rPr>
              <w:t xml:space="preserve">Supporting Affidavit </w:t>
            </w:r>
            <w:r w:rsidRPr="00D57237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67B7C48B" w14:textId="47D86128" w:rsidR="0051343B" w:rsidRPr="00D57237" w:rsidRDefault="0051343B" w:rsidP="00202C1B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bCs/>
                <w:szCs w:val="28"/>
              </w:rPr>
              <w:t xml:space="preserve">Parole Board reasons for making direction under section 17(1)(b)(ii) </w:t>
            </w:r>
            <w:r w:rsidRPr="0051343B">
              <w:rPr>
                <w:rFonts w:cs="Arial"/>
                <w:b/>
                <w:sz w:val="12"/>
                <w:szCs w:val="18"/>
              </w:rPr>
              <w:t>mandatory</w:t>
            </w:r>
            <w:r>
              <w:rPr>
                <w:rFonts w:cs="Arial"/>
                <w:bCs/>
                <w:sz w:val="12"/>
                <w:szCs w:val="18"/>
              </w:rPr>
              <w:t xml:space="preserve"> </w:t>
            </w:r>
          </w:p>
          <w:p w14:paraId="58130765" w14:textId="04AF1C88" w:rsidR="0080238C" w:rsidRPr="00A439CA" w:rsidRDefault="0080238C" w:rsidP="00202C1B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r w:rsidRPr="00D57237">
              <w:rPr>
                <w:rFonts w:cs="Arial"/>
                <w:lang w:val="en-US"/>
              </w:rPr>
              <w:t>If other additional document(s) please list below:</w:t>
            </w:r>
          </w:p>
          <w:p w14:paraId="6D0F9444" w14:textId="77777777" w:rsidR="0080238C" w:rsidRPr="00C45A2E" w:rsidRDefault="0080238C" w:rsidP="00202C1B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</w:tbl>
    <w:p w14:paraId="7D83818A" w14:textId="77D0EA90" w:rsidR="00612586" w:rsidRPr="00187BB9" w:rsidRDefault="00612586" w:rsidP="00202C1B">
      <w:pPr>
        <w:spacing w:before="120" w:after="120" w:line="276" w:lineRule="auto"/>
        <w:ind w:right="142"/>
        <w:rPr>
          <w:rFonts w:asciiTheme="minorHAnsi" w:hAnsiTheme="minorHAnsi" w:cs="Calibri"/>
          <w:b/>
          <w:sz w:val="12"/>
          <w:szCs w:val="12"/>
        </w:rPr>
      </w:pPr>
    </w:p>
    <w:p w14:paraId="3F56AB54" w14:textId="77777777" w:rsidR="006F2091" w:rsidRPr="00900581" w:rsidRDefault="006F2091" w:rsidP="00202C1B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default" r:id="rId11"/>
      <w:head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4174D950" w:rsidR="00F42926" w:rsidRDefault="00D6340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53773">
      <w:rPr>
        <w:lang w:val="en-US"/>
      </w:rPr>
      <w:t>122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F323A3D" w:rsidR="00C02A97" w:rsidRDefault="00D63405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253773">
      <w:rPr>
        <w:lang w:val="en-US"/>
      </w:rPr>
      <w:t>122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15E4191A" w14:textId="77777777" w:rsidR="00143BFA" w:rsidRPr="00143BFA" w:rsidRDefault="00143BFA" w:rsidP="00143BFA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0BD0"/>
    <w:multiLevelType w:val="hybridMultilevel"/>
    <w:tmpl w:val="F4D072C8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8305B"/>
    <w:multiLevelType w:val="hybridMultilevel"/>
    <w:tmpl w:val="EAC063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36CB6"/>
    <w:multiLevelType w:val="hybridMultilevel"/>
    <w:tmpl w:val="8AFC6F1E"/>
    <w:lvl w:ilvl="0" w:tplc="0C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</w:abstractNum>
  <w:abstractNum w:abstractNumId="4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0231AB7"/>
    <w:multiLevelType w:val="hybridMultilevel"/>
    <w:tmpl w:val="0F266B0E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41B1"/>
    <w:multiLevelType w:val="hybridMultilevel"/>
    <w:tmpl w:val="A82AE5CA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8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26CFC"/>
    <w:multiLevelType w:val="hybridMultilevel"/>
    <w:tmpl w:val="B5BA4098"/>
    <w:lvl w:ilvl="0" w:tplc="0409000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61" w:hanging="360"/>
      </w:pPr>
      <w:rPr>
        <w:rFonts w:ascii="Wingdings" w:hAnsi="Wingdings" w:hint="default"/>
      </w:rPr>
    </w:lvl>
  </w:abstractNum>
  <w:abstractNum w:abstractNumId="10" w15:restartNumberingAfterBreak="0">
    <w:nsid w:val="38E55A6D"/>
    <w:multiLevelType w:val="hybridMultilevel"/>
    <w:tmpl w:val="628CE9EE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4904AC4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6D1C51"/>
    <w:multiLevelType w:val="hybridMultilevel"/>
    <w:tmpl w:val="F5DEDB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B1CF6"/>
    <w:multiLevelType w:val="hybridMultilevel"/>
    <w:tmpl w:val="63E816FE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E6845"/>
    <w:multiLevelType w:val="hybridMultilevel"/>
    <w:tmpl w:val="EB14F7D8"/>
    <w:lvl w:ilvl="0" w:tplc="9C6C4DA0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50FFE"/>
    <w:multiLevelType w:val="hybridMultilevel"/>
    <w:tmpl w:val="BBDA2C98"/>
    <w:lvl w:ilvl="0" w:tplc="4904AC4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99B66F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i w:val="0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F37EE1FC">
      <w:start w:val="1"/>
      <w:numFmt w:val="lowerLetter"/>
      <w:lvlText w:val="%4."/>
      <w:lvlJc w:val="left"/>
      <w:pPr>
        <w:ind w:left="1495" w:hanging="360"/>
      </w:pPr>
      <w:rPr>
        <w:rFonts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0667C6"/>
    <w:multiLevelType w:val="hybridMultilevel"/>
    <w:tmpl w:val="E49A69E2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D3073"/>
    <w:multiLevelType w:val="hybridMultilevel"/>
    <w:tmpl w:val="7960FC1E"/>
    <w:lvl w:ilvl="0" w:tplc="A9CC873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  <w:i w:val="0"/>
        <w:color w:val="auto"/>
        <w:sz w:val="18"/>
      </w:rPr>
    </w:lvl>
    <w:lvl w:ilvl="1" w:tplc="4904AC4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318BC"/>
    <w:multiLevelType w:val="hybridMultilevel"/>
    <w:tmpl w:val="F5DEDB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7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15"/>
  </w:num>
  <w:num w:numId="10">
    <w:abstractNumId w:val="5"/>
  </w:num>
  <w:num w:numId="11">
    <w:abstractNumId w:val="7"/>
  </w:num>
  <w:num w:numId="12">
    <w:abstractNumId w:val="1"/>
  </w:num>
  <w:num w:numId="13">
    <w:abstractNumId w:val="3"/>
  </w:num>
  <w:num w:numId="14">
    <w:abstractNumId w:val="16"/>
  </w:num>
  <w:num w:numId="15">
    <w:abstractNumId w:val="11"/>
  </w:num>
  <w:num w:numId="16">
    <w:abstractNumId w:val="18"/>
  </w:num>
  <w:num w:numId="17">
    <w:abstractNumId w:val="13"/>
  </w:num>
  <w:num w:numId="18">
    <w:abstractNumId w:val="0"/>
  </w:num>
  <w:num w:numId="1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0D89"/>
    <w:rsid w:val="0000190D"/>
    <w:rsid w:val="00004436"/>
    <w:rsid w:val="000070E3"/>
    <w:rsid w:val="00010A92"/>
    <w:rsid w:val="000110AF"/>
    <w:rsid w:val="00011120"/>
    <w:rsid w:val="00011A48"/>
    <w:rsid w:val="00011C5A"/>
    <w:rsid w:val="00013178"/>
    <w:rsid w:val="0001369B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2C64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6D23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46DC"/>
    <w:rsid w:val="000D74AD"/>
    <w:rsid w:val="000E05D6"/>
    <w:rsid w:val="000E2602"/>
    <w:rsid w:val="000E2992"/>
    <w:rsid w:val="000E43E7"/>
    <w:rsid w:val="000E4FFE"/>
    <w:rsid w:val="000E51EF"/>
    <w:rsid w:val="000E5CA1"/>
    <w:rsid w:val="000E6E65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66D"/>
    <w:rsid w:val="00142BAE"/>
    <w:rsid w:val="00143BFA"/>
    <w:rsid w:val="00145C6E"/>
    <w:rsid w:val="00146832"/>
    <w:rsid w:val="00146DDF"/>
    <w:rsid w:val="0015105E"/>
    <w:rsid w:val="001518CC"/>
    <w:rsid w:val="001525BD"/>
    <w:rsid w:val="00153B67"/>
    <w:rsid w:val="00153D16"/>
    <w:rsid w:val="0015479F"/>
    <w:rsid w:val="001547FC"/>
    <w:rsid w:val="00157D3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87BB9"/>
    <w:rsid w:val="00191B8A"/>
    <w:rsid w:val="00191BF7"/>
    <w:rsid w:val="001924F4"/>
    <w:rsid w:val="00195C58"/>
    <w:rsid w:val="00195F2E"/>
    <w:rsid w:val="00196699"/>
    <w:rsid w:val="00197AD2"/>
    <w:rsid w:val="001A0551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166"/>
    <w:rsid w:val="001B63B2"/>
    <w:rsid w:val="001B736A"/>
    <w:rsid w:val="001B7421"/>
    <w:rsid w:val="001B79D8"/>
    <w:rsid w:val="001C0C0E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2C1B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773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082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0FB8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71E9"/>
    <w:rsid w:val="002E1E66"/>
    <w:rsid w:val="002E337F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0CDC"/>
    <w:rsid w:val="003110EF"/>
    <w:rsid w:val="003177AB"/>
    <w:rsid w:val="00317CB3"/>
    <w:rsid w:val="00326C49"/>
    <w:rsid w:val="00327E30"/>
    <w:rsid w:val="00330E6D"/>
    <w:rsid w:val="003310A8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46D35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2941"/>
    <w:rsid w:val="003933EA"/>
    <w:rsid w:val="0039342D"/>
    <w:rsid w:val="00396FF4"/>
    <w:rsid w:val="00397E90"/>
    <w:rsid w:val="00397FD3"/>
    <w:rsid w:val="003A1026"/>
    <w:rsid w:val="003A1165"/>
    <w:rsid w:val="003A139A"/>
    <w:rsid w:val="003A18A8"/>
    <w:rsid w:val="003A2184"/>
    <w:rsid w:val="003A3959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D1F"/>
    <w:rsid w:val="003D7FCC"/>
    <w:rsid w:val="003E07B1"/>
    <w:rsid w:val="003E1EE5"/>
    <w:rsid w:val="003E64B8"/>
    <w:rsid w:val="003E7516"/>
    <w:rsid w:val="003F1F8F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DAF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43B"/>
    <w:rsid w:val="005137C6"/>
    <w:rsid w:val="00515A26"/>
    <w:rsid w:val="00515D67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6BBA"/>
    <w:rsid w:val="00577FE3"/>
    <w:rsid w:val="005800A5"/>
    <w:rsid w:val="00580443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A6D81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310"/>
    <w:rsid w:val="005F757F"/>
    <w:rsid w:val="005F770B"/>
    <w:rsid w:val="005F7DA8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BC7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0E76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DCF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2F8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219"/>
    <w:rsid w:val="006F7889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0D24"/>
    <w:rsid w:val="007254E9"/>
    <w:rsid w:val="0072676F"/>
    <w:rsid w:val="0073667B"/>
    <w:rsid w:val="007415A0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61B"/>
    <w:rsid w:val="00780711"/>
    <w:rsid w:val="0078292E"/>
    <w:rsid w:val="00785661"/>
    <w:rsid w:val="00787890"/>
    <w:rsid w:val="0079157F"/>
    <w:rsid w:val="00791F12"/>
    <w:rsid w:val="00793071"/>
    <w:rsid w:val="007938BD"/>
    <w:rsid w:val="00793970"/>
    <w:rsid w:val="00794228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5F06"/>
    <w:rsid w:val="007A631E"/>
    <w:rsid w:val="007A77AE"/>
    <w:rsid w:val="007B2DC5"/>
    <w:rsid w:val="007B2F32"/>
    <w:rsid w:val="007B4331"/>
    <w:rsid w:val="007B6372"/>
    <w:rsid w:val="007B6D58"/>
    <w:rsid w:val="007C2130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8C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17CE4"/>
    <w:rsid w:val="008216F7"/>
    <w:rsid w:val="00823D20"/>
    <w:rsid w:val="0082408A"/>
    <w:rsid w:val="00824E12"/>
    <w:rsid w:val="00827C95"/>
    <w:rsid w:val="0083130E"/>
    <w:rsid w:val="00831499"/>
    <w:rsid w:val="00831926"/>
    <w:rsid w:val="00832AB6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33F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6F1"/>
    <w:rsid w:val="00892ACE"/>
    <w:rsid w:val="00892B9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4DA8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0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5823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028D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131B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465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39C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32A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68D3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53E5"/>
    <w:rsid w:val="00B56F55"/>
    <w:rsid w:val="00B57311"/>
    <w:rsid w:val="00B57910"/>
    <w:rsid w:val="00B60F3C"/>
    <w:rsid w:val="00B610D0"/>
    <w:rsid w:val="00B648EC"/>
    <w:rsid w:val="00B6531A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1505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1A0"/>
    <w:rsid w:val="00BA1294"/>
    <w:rsid w:val="00BA2E0B"/>
    <w:rsid w:val="00BA30B0"/>
    <w:rsid w:val="00BA48D1"/>
    <w:rsid w:val="00BA5B27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3CB1"/>
    <w:rsid w:val="00BC3E4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10EF"/>
    <w:rsid w:val="00C57AF8"/>
    <w:rsid w:val="00C603F4"/>
    <w:rsid w:val="00C6281B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4DC5"/>
    <w:rsid w:val="00C860C6"/>
    <w:rsid w:val="00C91487"/>
    <w:rsid w:val="00C924C3"/>
    <w:rsid w:val="00C94158"/>
    <w:rsid w:val="00C95D6C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195E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3CBC"/>
    <w:rsid w:val="00CD3E22"/>
    <w:rsid w:val="00CD6335"/>
    <w:rsid w:val="00CD6FAC"/>
    <w:rsid w:val="00CD78FE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237"/>
    <w:rsid w:val="00D5761B"/>
    <w:rsid w:val="00D607F0"/>
    <w:rsid w:val="00D61324"/>
    <w:rsid w:val="00D62ADA"/>
    <w:rsid w:val="00D6306D"/>
    <w:rsid w:val="00D63405"/>
    <w:rsid w:val="00D64C3C"/>
    <w:rsid w:val="00D65136"/>
    <w:rsid w:val="00D6638D"/>
    <w:rsid w:val="00D7057D"/>
    <w:rsid w:val="00D735AE"/>
    <w:rsid w:val="00D73A05"/>
    <w:rsid w:val="00D74078"/>
    <w:rsid w:val="00D76DA7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07D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3D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57010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662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0FE7"/>
    <w:rsid w:val="00EB3454"/>
    <w:rsid w:val="00EB6E8C"/>
    <w:rsid w:val="00EB709C"/>
    <w:rsid w:val="00EB759C"/>
    <w:rsid w:val="00EC092D"/>
    <w:rsid w:val="00EC1C31"/>
    <w:rsid w:val="00EC40C6"/>
    <w:rsid w:val="00EC6DA3"/>
    <w:rsid w:val="00ED28E1"/>
    <w:rsid w:val="00ED7CEC"/>
    <w:rsid w:val="00EE25EA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4E9D"/>
    <w:rsid w:val="00F06802"/>
    <w:rsid w:val="00F1050C"/>
    <w:rsid w:val="00F10CA9"/>
    <w:rsid w:val="00F17652"/>
    <w:rsid w:val="00F2060C"/>
    <w:rsid w:val="00F21E35"/>
    <w:rsid w:val="00F249A0"/>
    <w:rsid w:val="00F258C2"/>
    <w:rsid w:val="00F2717D"/>
    <w:rsid w:val="00F33BA9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421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2646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1006"/>
    <w:rsid w:val="00FC276E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classic.austlii.edu.au/au/legis/sa/consol_act/clroa2015289/s4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classic.austlii.edu.au/au/legis/sa/consol_act/clroa2015289/s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F13FCD4-F8E8-4964-A1D7-990D5F748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122 Originating Application and Notice of Referral - High Risk Offenders - Continuing Detention</dc:title>
  <dc:subject/>
  <dc:creator>Courts Administration Authority</dc:creator>
  <cp:keywords>Forms; Special</cp:keywords>
  <dc:description/>
  <cp:lastModifiedBy/>
  <cp:revision>1</cp:revision>
  <dcterms:created xsi:type="dcterms:W3CDTF">2020-11-30T02:19:00Z</dcterms:created>
  <dcterms:modified xsi:type="dcterms:W3CDTF">2022-08-13T03:01:00Z</dcterms:modified>
</cp:coreProperties>
</file>